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Modifica sostanziale di impianto AUA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Modifica sostanziale di impianto AUA - Autorizzazione. Va comunicata, da parte dei soggetti istanti l'A.U.A., ogni modifica che "possa produrre effetti sull'ambiente" e, dunque, ogni modifica relativa all'utilizzo di sostanze e di cicli di prodotto. Pertanto, ai fini dell'applicabilita' della norma, non rileva che la modifica introdotta sia poi ritenuta, a seguito di concreta valutazione espletata dalle amministrazioni competenti, non influente sull'ambiente, posto che la modifica debba essere comunicata anche solo se potenzialmente idonea a produrre effetti sull'ambiente.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Nel caso quindi di una modifica sostanziale, come prevede l'art. 6 comma 2 del D.P.R. n. 59/2013, il gestore e' obbligato a presentare una nuova domanda di A.U.A.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